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9131E" w14:textId="77777777" w:rsidR="00901CEA" w:rsidRPr="00901CEA" w:rsidRDefault="00901CEA" w:rsidP="00901CEA">
      <w:pPr>
        <w:pStyle w:val="Heading3"/>
        <w:keepNext w:val="0"/>
        <w:keepLines w:val="0"/>
        <w:spacing w:before="280"/>
        <w:rPr>
          <w:b/>
          <w:color w:val="231F5A"/>
          <w:sz w:val="32"/>
          <w:szCs w:val="26"/>
          <w:highlight w:val="yellow"/>
          <w:u w:val="single"/>
        </w:rPr>
      </w:pPr>
      <w:bookmarkStart w:id="0" w:name="_GoBack"/>
      <w:r w:rsidRPr="00901CEA">
        <w:rPr>
          <w:b/>
          <w:color w:val="231F5A"/>
          <w:sz w:val="32"/>
          <w:szCs w:val="26"/>
          <w:u w:val="single"/>
        </w:rPr>
        <w:t>New Common Rule</w:t>
      </w:r>
    </w:p>
    <w:bookmarkEnd w:id="0"/>
    <w:p w14:paraId="5FFF3BFD" w14:textId="77777777" w:rsidR="006B4424" w:rsidRDefault="007F6DE6">
      <w:pPr>
        <w:pStyle w:val="Heading3"/>
        <w:keepNext w:val="0"/>
        <w:keepLines w:val="0"/>
        <w:spacing w:before="280"/>
        <w:rPr>
          <w:b/>
          <w:color w:val="000000"/>
          <w:sz w:val="26"/>
          <w:szCs w:val="26"/>
        </w:rPr>
      </w:pPr>
      <w:r>
        <w:commentReference w:id="1"/>
      </w:r>
      <w:r>
        <w:rPr>
          <w:b/>
          <w:color w:val="000000"/>
          <w:sz w:val="26"/>
          <w:szCs w:val="26"/>
        </w:rPr>
        <w:t>Updates to Pepperdine's IRB Manual</w:t>
      </w:r>
    </w:p>
    <w:p w14:paraId="5DAD4DCC" w14:textId="77777777" w:rsidR="006B4424" w:rsidRDefault="007F6DE6">
      <w:pPr>
        <w:spacing w:before="240" w:after="240"/>
      </w:pPr>
      <w:r>
        <w:t>The revisions to the common rule are reflected in Pepperdine's</w:t>
      </w:r>
      <w:hyperlink r:id="rId7">
        <w:r>
          <w:t xml:space="preserve"> </w:t>
        </w:r>
      </w:hyperlink>
      <w:hyperlink r:id="rId8">
        <w:r>
          <w:rPr>
            <w:color w:val="1155CC"/>
            <w:u w:val="single"/>
          </w:rPr>
          <w:t>IRB Manual</w:t>
        </w:r>
      </w:hyperlink>
      <w:r>
        <w:t xml:space="preserve">. </w:t>
      </w:r>
    </w:p>
    <w:p w14:paraId="5C8E72BC" w14:textId="77777777" w:rsidR="006B4424" w:rsidRDefault="007F6DE6">
      <w:pPr>
        <w:pStyle w:val="Heading3"/>
        <w:keepNext w:val="0"/>
        <w:keepLines w:val="0"/>
        <w:spacing w:before="280"/>
        <w:rPr>
          <w:b/>
          <w:color w:val="000000"/>
          <w:sz w:val="26"/>
          <w:szCs w:val="26"/>
        </w:rPr>
      </w:pPr>
      <w:bookmarkStart w:id="2" w:name="_dbl7esnetv5o" w:colFirst="0" w:colLast="0"/>
      <w:bookmarkEnd w:id="2"/>
      <w:r>
        <w:rPr>
          <w:b/>
          <w:color w:val="000000"/>
          <w:sz w:val="26"/>
          <w:szCs w:val="26"/>
        </w:rPr>
        <w:t>Latest News</w:t>
      </w:r>
    </w:p>
    <w:p w14:paraId="5FD47827" w14:textId="77777777" w:rsidR="006B4424" w:rsidRDefault="007F6DE6">
      <w:pPr>
        <w:spacing w:before="240" w:after="240"/>
      </w:pPr>
      <w:r>
        <w:t>Until January 21, 2019 institutions are required to comply with the pre-2018 Common Rule. The information below and on the linked pages is consiste</w:t>
      </w:r>
      <w:r>
        <w:t>nt with the Common Rule revisions that are set to go live on January 19, 2019. We will update the information on this page as applicable to keep Pepperdine's research community informed. Additional updates will be posted on a regular basis, as implementati</w:t>
      </w:r>
      <w:r>
        <w:t>on guidance is issued by the federal government.</w:t>
      </w:r>
    </w:p>
    <w:p w14:paraId="7512528C" w14:textId="77777777" w:rsidR="006B4424" w:rsidRDefault="007F6DE6">
      <w:pPr>
        <w:spacing w:before="240" w:after="240"/>
        <w:rPr>
          <w:b/>
        </w:rPr>
      </w:pPr>
      <w:r>
        <w:rPr>
          <w:b/>
        </w:rPr>
        <w:t xml:space="preserve">Beginning January 19, 2019, Pepperdine's </w:t>
      </w:r>
      <w:proofErr w:type="spellStart"/>
      <w:r>
        <w:rPr>
          <w:b/>
        </w:rPr>
        <w:t>eProtocol</w:t>
      </w:r>
      <w:proofErr w:type="spellEnd"/>
      <w:r>
        <w:rPr>
          <w:b/>
        </w:rPr>
        <w:t xml:space="preserve"> IRB system submission forms will be updated to reflect the revised Common Rule.</w:t>
      </w:r>
    </w:p>
    <w:p w14:paraId="5AF5B1A7" w14:textId="77777777" w:rsidR="006B4424" w:rsidRDefault="007F6DE6">
      <w:pPr>
        <w:pStyle w:val="Heading3"/>
        <w:keepNext w:val="0"/>
        <w:keepLines w:val="0"/>
        <w:spacing w:before="280"/>
        <w:rPr>
          <w:b/>
          <w:color w:val="000000"/>
          <w:sz w:val="26"/>
          <w:szCs w:val="26"/>
        </w:rPr>
      </w:pPr>
      <w:bookmarkStart w:id="3" w:name="_u2r191qzgvar" w:colFirst="0" w:colLast="0"/>
      <w:bookmarkEnd w:id="3"/>
      <w:r>
        <w:rPr>
          <w:b/>
          <w:color w:val="000000"/>
          <w:sz w:val="26"/>
          <w:szCs w:val="26"/>
        </w:rPr>
        <w:t>Overview of Common Rule Revisions</w:t>
      </w:r>
    </w:p>
    <w:p w14:paraId="1EAD49FB" w14:textId="77777777" w:rsidR="006B4424" w:rsidRDefault="007F6DE6">
      <w:pPr>
        <w:spacing w:before="240" w:after="240"/>
      </w:pPr>
      <w:r>
        <w:t>The Common Rule has been updated for the f</w:t>
      </w:r>
      <w:r>
        <w:t>irst time since it was issued in 1991. The Final Rule to update the current regulations at 45 CFR 46, Subpart A – "Federal Policy for the Protection of Human Subjects" (the Common Rule) was published by the U.S. Department of Health and Human Services (HHS</w:t>
      </w:r>
      <w:r>
        <w:t>) on January 19, 2017 in the Federal Register.</w:t>
      </w:r>
    </w:p>
    <w:p w14:paraId="78FBF4C0" w14:textId="77777777" w:rsidR="006B4424" w:rsidRDefault="007F6DE6">
      <w:pPr>
        <w:spacing w:before="240" w:after="240"/>
      </w:pPr>
      <w:r>
        <w:t>The most significant changes that affect research institutions, Institutional Review Boards (IRBs), and investigators are provided below. Some Final Rule changes were made in an effort to clarify how the pre-2</w:t>
      </w:r>
      <w:r>
        <w:t>018 Common Rule is applied. The most significant revisions are intended to "modernize, strengthen, and make more effective" the current system of oversight. The revisions propose to:</w:t>
      </w:r>
    </w:p>
    <w:p w14:paraId="74E97065" w14:textId="77777777" w:rsidR="006B4424" w:rsidRDefault="007F6DE6">
      <w:pPr>
        <w:numPr>
          <w:ilvl w:val="0"/>
          <w:numId w:val="1"/>
        </w:numPr>
        <w:spacing w:before="240"/>
      </w:pPr>
      <w:r>
        <w:t>Better protect human subjects</w:t>
      </w:r>
    </w:p>
    <w:p w14:paraId="3A89BC44" w14:textId="77777777" w:rsidR="006B4424" w:rsidRDefault="007F6DE6">
      <w:pPr>
        <w:numPr>
          <w:ilvl w:val="0"/>
          <w:numId w:val="1"/>
        </w:numPr>
      </w:pPr>
      <w:r>
        <w:t>Expedite research</w:t>
      </w:r>
    </w:p>
    <w:p w14:paraId="510853FE" w14:textId="77777777" w:rsidR="006B4424" w:rsidRDefault="007F6DE6">
      <w:pPr>
        <w:numPr>
          <w:ilvl w:val="0"/>
          <w:numId w:val="1"/>
        </w:numPr>
      </w:pPr>
      <w:r>
        <w:t>Increase trust in the res</w:t>
      </w:r>
      <w:r>
        <w:t>earch enterprise</w:t>
      </w:r>
    </w:p>
    <w:p w14:paraId="478B2891" w14:textId="77777777" w:rsidR="006B4424" w:rsidRDefault="007F6DE6">
      <w:pPr>
        <w:numPr>
          <w:ilvl w:val="0"/>
          <w:numId w:val="1"/>
        </w:numPr>
        <w:spacing w:after="240"/>
      </w:pPr>
      <w:r>
        <w:t>Reduce regulatory burden</w:t>
      </w:r>
    </w:p>
    <w:p w14:paraId="40A00EBA" w14:textId="77777777" w:rsidR="006B4424" w:rsidRDefault="007F6DE6">
      <w:pPr>
        <w:spacing w:before="240" w:after="240"/>
      </w:pPr>
      <w:r>
        <w:t>The</w:t>
      </w:r>
      <w:hyperlink r:id="rId9">
        <w:r>
          <w:t xml:space="preserve"> </w:t>
        </w:r>
      </w:hyperlink>
      <w:hyperlink r:id="rId10">
        <w:r>
          <w:rPr>
            <w:color w:val="1155CC"/>
            <w:u w:val="single"/>
          </w:rPr>
          <w:t>Common Rule revisions</w:t>
        </w:r>
      </w:hyperlink>
      <w:r>
        <w:t xml:space="preserve"> aim to better manage the many type</w:t>
      </w:r>
      <w:r>
        <w:t>s of research (specifically including behavioral and social science research) that are being conducted today, as opposed to the research conducted in 1991. One of the Final Rule's main purposes is to facilitate the conduct of minimal risk research. It also</w:t>
      </w:r>
      <w:r>
        <w:t xml:space="preserve"> recognizes the evolving technologies used today which have changed the scale and nature of information collected in modern research activities. Large databases, bio-specimen repositories, electronic health records, and clinical research networks have shif</w:t>
      </w:r>
      <w:r>
        <w:t>ted research priorities.</w:t>
      </w:r>
    </w:p>
    <w:p w14:paraId="5761DD6B" w14:textId="77777777" w:rsidR="006B4424" w:rsidRDefault="007F6DE6">
      <w:pPr>
        <w:pStyle w:val="Heading3"/>
        <w:keepNext w:val="0"/>
        <w:keepLines w:val="0"/>
        <w:spacing w:before="280"/>
        <w:rPr>
          <w:b/>
          <w:color w:val="000000"/>
          <w:sz w:val="26"/>
          <w:szCs w:val="26"/>
        </w:rPr>
      </w:pPr>
      <w:bookmarkStart w:id="4" w:name="_19qhcdy9abii" w:colFirst="0" w:colLast="0"/>
      <w:bookmarkEnd w:id="4"/>
      <w:r>
        <w:rPr>
          <w:b/>
          <w:color w:val="000000"/>
          <w:sz w:val="26"/>
          <w:szCs w:val="26"/>
        </w:rPr>
        <w:lastRenderedPageBreak/>
        <w:t>Major Changes to the Common Rule</w:t>
      </w:r>
    </w:p>
    <w:p w14:paraId="607848A1" w14:textId="77777777" w:rsidR="006B4424" w:rsidRDefault="007F6DE6">
      <w:pPr>
        <w:spacing w:before="240" w:after="240"/>
      </w:pPr>
      <w:r>
        <w:t>The following are some of the most significant changes that may affect our researchers:</w:t>
      </w:r>
    </w:p>
    <w:p w14:paraId="018744E0" w14:textId="77777777" w:rsidR="006B4424" w:rsidRDefault="007F6DE6">
      <w:pPr>
        <w:spacing w:before="240" w:after="240"/>
      </w:pPr>
      <w:r>
        <w:rPr>
          <w:b/>
        </w:rPr>
        <w:t>Continuing Review:</w:t>
      </w:r>
      <w:r>
        <w:t xml:space="preserve"> For new studies approved or determined exempt under the Revised Common Rule, continuing rev</w:t>
      </w:r>
      <w:r>
        <w:t>iew will not be required for some minimal risk research, including studies where the only remaining activity is the analysis of identifiable data/biospecimens or activity to obtain follow-up clinical data.</w:t>
      </w:r>
    </w:p>
    <w:p w14:paraId="3D69E692" w14:textId="77777777" w:rsidR="006B4424" w:rsidRDefault="007F6DE6">
      <w:pPr>
        <w:spacing w:before="240" w:after="240"/>
      </w:pPr>
      <w:r>
        <w:rPr>
          <w:b/>
        </w:rPr>
        <w:t>NOTE:</w:t>
      </w:r>
      <w:r>
        <w:t xml:space="preserve"> If a study was reviewed under the pre-2018 C</w:t>
      </w:r>
      <w:r>
        <w:t>ommon Rule and was determined to require continuing review, continuing review is still required to stay compliant. The revised Common Rule permits the IRB to review existing research and determine if it can transition to comply with the Revised Common Rule</w:t>
      </w:r>
      <w:r>
        <w:t>.</w:t>
      </w:r>
    </w:p>
    <w:p w14:paraId="22BF346D" w14:textId="77777777" w:rsidR="006B4424" w:rsidRDefault="007F6DE6">
      <w:pPr>
        <w:spacing w:before="240" w:after="240"/>
      </w:pPr>
      <w:r>
        <w:rPr>
          <w:b/>
        </w:rPr>
        <w:t>Exemptions:</w:t>
      </w:r>
      <w:r>
        <w:t xml:space="preserve"> The revised regulations created new exempt categories and modified some existing categories. Exempt research is research involving no greater than minimal risk and falls into specific categories identified in the federal regulations. Beginnin</w:t>
      </w:r>
      <w:r>
        <w:t xml:space="preserve">g January 19, 2019, Pepperdine's </w:t>
      </w:r>
      <w:proofErr w:type="spellStart"/>
      <w:r>
        <w:t>eProtocol</w:t>
      </w:r>
      <w:proofErr w:type="spellEnd"/>
      <w:r>
        <w:t xml:space="preserve"> IRB forms will adapt the exempt determination process to align with the revised exemption categories and to streamline the review process.</w:t>
      </w:r>
    </w:p>
    <w:p w14:paraId="1C4B002F" w14:textId="77777777" w:rsidR="006B4424" w:rsidRDefault="007F6DE6">
      <w:pPr>
        <w:spacing w:before="240" w:after="240"/>
      </w:pPr>
      <w:r>
        <w:rPr>
          <w:b/>
        </w:rPr>
        <w:t>Limited IRB Review:</w:t>
      </w:r>
      <w:r>
        <w:t xml:space="preserve"> The revised regulations also incorporate an alternate </w:t>
      </w:r>
      <w:r>
        <w:t>path of review for studies otherwise qualifying for exemption but working with identifiable information or biospecimens. An IRB member must conduct limited IRB review for these studies. The focus of the review is limited to determining that the research de</w:t>
      </w:r>
      <w:r>
        <w:t>sign includes adequate provisions to protect participant privacy and confidentiality.</w:t>
      </w:r>
    </w:p>
    <w:p w14:paraId="0452C29A" w14:textId="77777777" w:rsidR="006B4424" w:rsidRDefault="007F6DE6">
      <w:pPr>
        <w:spacing w:before="240" w:after="240"/>
      </w:pPr>
      <w:r>
        <w:rPr>
          <w:b/>
        </w:rPr>
        <w:t>Informed Consent:</w:t>
      </w:r>
      <w:r>
        <w:t xml:space="preserve"> The revised regulations include new process requirements for the content, presentation, and organization of information so potential participants have all the information they need to make an informed decision. Consent forms will need to include key infor</w:t>
      </w:r>
      <w:r>
        <w:t>mation at the beginning of the form and be presented at the outset of the consent discussion with participants to explain the research in an easy-to-understand and clear manner. Consent forms must be concise while also giving the full context of a study, i</w:t>
      </w:r>
      <w:r>
        <w:t>ncluding its risks and benefits. Consent forms will also need to include information regarding the potential for future use of de-identified data and biospecimens. Visit the</w:t>
      </w:r>
      <w:hyperlink r:id="rId11">
        <w:r>
          <w:t xml:space="preserve"> </w:t>
        </w:r>
      </w:hyperlink>
      <w:hyperlink r:id="rId12">
        <w:r>
          <w:rPr>
            <w:color w:val="1155CC"/>
            <w:u w:val="single"/>
          </w:rPr>
          <w:t>IRB Forms</w:t>
        </w:r>
      </w:hyperlink>
      <w:r>
        <w:t xml:space="preserve"> webpage for approved form/templates.</w:t>
      </w:r>
    </w:p>
    <w:p w14:paraId="760031E8" w14:textId="77777777" w:rsidR="006B4424" w:rsidRDefault="007F6DE6">
      <w:pPr>
        <w:pStyle w:val="Heading3"/>
        <w:keepNext w:val="0"/>
        <w:keepLines w:val="0"/>
        <w:spacing w:before="280"/>
        <w:rPr>
          <w:b/>
          <w:color w:val="000000"/>
          <w:sz w:val="26"/>
          <w:szCs w:val="26"/>
        </w:rPr>
      </w:pPr>
      <w:bookmarkStart w:id="5" w:name="_ljtoxvoz4buo" w:colFirst="0" w:colLast="0"/>
      <w:bookmarkEnd w:id="5"/>
      <w:r>
        <w:rPr>
          <w:b/>
          <w:color w:val="000000"/>
          <w:sz w:val="26"/>
          <w:szCs w:val="26"/>
        </w:rPr>
        <w:t>What does this mean for me as a researcher?</w:t>
      </w:r>
    </w:p>
    <w:p w14:paraId="008798AE" w14:textId="77777777" w:rsidR="006B4424" w:rsidRDefault="007F6DE6">
      <w:pPr>
        <w:numPr>
          <w:ilvl w:val="0"/>
          <w:numId w:val="2"/>
        </w:numPr>
        <w:spacing w:before="240"/>
      </w:pPr>
      <w:r>
        <w:t>The new regulations go into effect on January 21, 2019, and Pepperdine will begin reviewing new studies under the</w:t>
      </w:r>
      <w:r>
        <w:t xml:space="preserve"> revised Common Rule on that date.</w:t>
      </w:r>
    </w:p>
    <w:p w14:paraId="6CF90760" w14:textId="77777777" w:rsidR="006B4424" w:rsidRDefault="007F6DE6">
      <w:pPr>
        <w:numPr>
          <w:ilvl w:val="0"/>
          <w:numId w:val="2"/>
        </w:numPr>
      </w:pPr>
      <w:r>
        <w:t>Pending applications for new studies will need to be reviewed under the new regulations if approval or an exempt determination has not been made prior to January 21, 2019. Researchers may need to work with Pepperdine IRB staff to address any adjustments to</w:t>
      </w:r>
      <w:r>
        <w:t xml:space="preserve"> protocol materials needed to achieve compliance with the revised regulations.</w:t>
      </w:r>
    </w:p>
    <w:p w14:paraId="289CE89C" w14:textId="77777777" w:rsidR="006B4424" w:rsidRDefault="007F6DE6">
      <w:pPr>
        <w:numPr>
          <w:ilvl w:val="0"/>
          <w:numId w:val="2"/>
        </w:numPr>
      </w:pPr>
      <w:r>
        <w:t xml:space="preserve">Pepperdine has purchased a new Collaborative Institutional Training Initiative (CITI) training module, "Revised Common Rule", to assist in this transition and we encourage </w:t>
      </w:r>
      <w:r>
        <w:lastRenderedPageBreak/>
        <w:t>resea</w:t>
      </w:r>
      <w:r>
        <w:t>rchers to complete it. Researchers can access the "Revised Common Rule" training module by logging in to their</w:t>
      </w:r>
      <w:hyperlink r:id="rId13">
        <w:r>
          <w:t xml:space="preserve"> </w:t>
        </w:r>
      </w:hyperlink>
      <w:hyperlink r:id="rId14">
        <w:r>
          <w:rPr>
            <w:color w:val="1155CC"/>
            <w:u w:val="single"/>
          </w:rPr>
          <w:t>CITI profile</w:t>
        </w:r>
      </w:hyperlink>
      <w:r>
        <w:t>.</w:t>
      </w:r>
    </w:p>
    <w:p w14:paraId="26947BEB" w14:textId="77777777" w:rsidR="006B4424" w:rsidRDefault="007F6DE6">
      <w:pPr>
        <w:numPr>
          <w:ilvl w:val="0"/>
          <w:numId w:val="2"/>
        </w:numPr>
      </w:pPr>
      <w:r>
        <w:t>Researc</w:t>
      </w:r>
      <w:r>
        <w:t>hers should check the Pepperdine</w:t>
      </w:r>
      <w:hyperlink r:id="rId15">
        <w:r>
          <w:t xml:space="preserve"> </w:t>
        </w:r>
      </w:hyperlink>
      <w:hyperlink r:id="rId16">
        <w:r>
          <w:rPr>
            <w:color w:val="1155CC"/>
            <w:u w:val="single"/>
          </w:rPr>
          <w:t>IRB website</w:t>
        </w:r>
      </w:hyperlink>
      <w:r>
        <w:t xml:space="preserve"> frequently to ensure they are using the most currently available forms and information.</w:t>
      </w:r>
    </w:p>
    <w:p w14:paraId="2962B8A5" w14:textId="77777777" w:rsidR="006B4424" w:rsidRDefault="007F6DE6">
      <w:pPr>
        <w:numPr>
          <w:ilvl w:val="0"/>
          <w:numId w:val="2"/>
        </w:numPr>
        <w:spacing w:after="240"/>
      </w:pPr>
      <w:r>
        <w:t>Ask quest</w:t>
      </w:r>
      <w:r>
        <w:t>ions! We encourage you to contact any of Pepperdine's IRB administrative personnel (see left-hand menu) anytime.</w:t>
      </w:r>
    </w:p>
    <w:p w14:paraId="4B52565A" w14:textId="77777777" w:rsidR="006B4424" w:rsidRDefault="007F6DE6">
      <w:pPr>
        <w:pStyle w:val="Heading3"/>
        <w:keepNext w:val="0"/>
        <w:keepLines w:val="0"/>
        <w:spacing w:before="280"/>
        <w:rPr>
          <w:b/>
          <w:color w:val="000000"/>
          <w:sz w:val="26"/>
          <w:szCs w:val="26"/>
        </w:rPr>
      </w:pPr>
      <w:bookmarkStart w:id="6" w:name="_ql2bdyq7d9jz" w:colFirst="0" w:colLast="0"/>
      <w:bookmarkEnd w:id="6"/>
      <w:r>
        <w:rPr>
          <w:b/>
          <w:color w:val="000000"/>
          <w:sz w:val="26"/>
          <w:szCs w:val="26"/>
        </w:rPr>
        <w:t>Where can I learn more?</w:t>
      </w:r>
    </w:p>
    <w:p w14:paraId="30C78E51" w14:textId="77777777" w:rsidR="006B4424" w:rsidRDefault="007F6DE6">
      <w:pPr>
        <w:numPr>
          <w:ilvl w:val="0"/>
          <w:numId w:val="3"/>
        </w:numPr>
        <w:spacing w:before="240"/>
      </w:pPr>
      <w:r>
        <w:t>The</w:t>
      </w:r>
      <w:hyperlink r:id="rId17">
        <w:r>
          <w:t xml:space="preserve"> </w:t>
        </w:r>
      </w:hyperlink>
      <w:hyperlink r:id="rId18">
        <w:r>
          <w:rPr>
            <w:color w:val="1155CC"/>
            <w:u w:val="single"/>
          </w:rPr>
          <w:t>Office for Human Research</w:t>
        </w:r>
        <w:r>
          <w:rPr>
            <w:color w:val="1155CC"/>
            <w:u w:val="single"/>
          </w:rPr>
          <w:t xml:space="preserve"> Protections (OHRP)</w:t>
        </w:r>
      </w:hyperlink>
      <w:r>
        <w:t>, a division of HHS, is the lead agency who published the final rule. This site provides a news release and commentary on the revised common rule.</w:t>
      </w:r>
    </w:p>
    <w:p w14:paraId="72AB882C" w14:textId="77777777" w:rsidR="006B4424" w:rsidRDefault="007F6DE6">
      <w:pPr>
        <w:numPr>
          <w:ilvl w:val="0"/>
          <w:numId w:val="3"/>
        </w:numPr>
      </w:pPr>
      <w:r>
        <w:t>The published version of the changes to the Common Rule in the Federal Register.</w:t>
      </w:r>
    </w:p>
    <w:p w14:paraId="3993FC84" w14:textId="77777777" w:rsidR="006B4424" w:rsidRDefault="007F6DE6">
      <w:pPr>
        <w:numPr>
          <w:ilvl w:val="0"/>
          <w:numId w:val="3"/>
        </w:numPr>
        <w:spacing w:after="240"/>
      </w:pPr>
      <w:r>
        <w:t>Public Re</w:t>
      </w:r>
      <w:r>
        <w:t>sponsibility in Medicine &amp; Research (PRIM&amp;R) provides many helpful resources</w:t>
      </w:r>
      <w:hyperlink r:id="rId19">
        <w:r>
          <w:t xml:space="preserve"> </w:t>
        </w:r>
      </w:hyperlink>
      <w:hyperlink r:id="rId20">
        <w:r>
          <w:rPr>
            <w:color w:val="1155CC"/>
            <w:u w:val="single"/>
          </w:rPr>
          <w:t>on their website</w:t>
        </w:r>
      </w:hyperlink>
      <w:r>
        <w:t>.</w:t>
      </w:r>
    </w:p>
    <w:p w14:paraId="7D4B2998" w14:textId="77777777" w:rsidR="006B4424" w:rsidRDefault="007F6DE6" w:rsidP="00901CEA">
      <w:pPr>
        <w:spacing w:before="240" w:after="240"/>
      </w:pPr>
      <w:r>
        <w:t>Collaborative Institutional Training Initiative</w:t>
      </w:r>
      <w:hyperlink r:id="rId21">
        <w:r>
          <w:t xml:space="preserve"> </w:t>
        </w:r>
      </w:hyperlink>
      <w:hyperlink r:id="rId22">
        <w:r>
          <w:rPr>
            <w:color w:val="1155CC"/>
            <w:u w:val="single"/>
          </w:rPr>
          <w:t>(CITI) Program</w:t>
        </w:r>
      </w:hyperlink>
      <w:r>
        <w:t xml:space="preserve"> offers a wealth of resources on its website</w:t>
      </w:r>
      <w:r>
        <w:t>.</w:t>
      </w:r>
      <w:bookmarkStart w:id="7" w:name="_1l4edfgtljwf" w:colFirst="0" w:colLast="0"/>
      <w:bookmarkEnd w:id="7"/>
    </w:p>
    <w:sectPr w:rsidR="006B442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evana Hanneyan" w:date="2024-06-26T22:29:00Z" w:initials="">
    <w:p w14:paraId="7736766C" w14:textId="77777777" w:rsidR="006B4424" w:rsidRDefault="007F6DE6">
      <w:pPr>
        <w:widowControl w:val="0"/>
        <w:pBdr>
          <w:top w:val="nil"/>
          <w:left w:val="nil"/>
          <w:bottom w:val="nil"/>
          <w:right w:val="nil"/>
          <w:between w:val="nil"/>
        </w:pBdr>
        <w:spacing w:line="240" w:lineRule="auto"/>
        <w:rPr>
          <w:color w:val="000000"/>
        </w:rPr>
      </w:pPr>
      <w:r>
        <w:rPr>
          <w:color w:val="000000"/>
        </w:rPr>
        <w:t xml:space="preserve">Revised Common Rule on </w:t>
      </w:r>
      <w:proofErr w:type="spellStart"/>
      <w:r>
        <w:rPr>
          <w:color w:val="000000"/>
        </w:rPr>
        <w:t>pg</w:t>
      </w:r>
      <w:proofErr w:type="spellEnd"/>
      <w:r>
        <w:rPr>
          <w:color w:val="000000"/>
        </w:rPr>
        <w:t xml:space="preserv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36766C"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18F8"/>
    <w:multiLevelType w:val="multilevel"/>
    <w:tmpl w:val="53EE4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B83AF7"/>
    <w:multiLevelType w:val="multilevel"/>
    <w:tmpl w:val="9A289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1F02F8"/>
    <w:multiLevelType w:val="multilevel"/>
    <w:tmpl w:val="23B8B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vana Hanneyan">
    <w15:presenceInfo w15:providerId="AD" w15:userId="S-1-5-21-2008768363-473695779-152699781-131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24"/>
    <w:rsid w:val="006B4424"/>
    <w:rsid w:val="007F6DE6"/>
    <w:rsid w:val="0090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ADE69"/>
  <w15:docId w15:val="{F569C5BC-7711-4167-A2CF-32FD13E9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C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pepperdine.edu/irb/content/irbmanual_revised.pdf" TargetMode="External"/><Relationship Id="rId13" Type="http://schemas.openxmlformats.org/officeDocument/2006/relationships/hyperlink" Target="https://about.citiprogram.org/en/homepage/" TargetMode="External"/><Relationship Id="rId18" Type="http://schemas.openxmlformats.org/officeDocument/2006/relationships/hyperlink" Target="https://www.hhs.gov/ohrp/" TargetMode="External"/><Relationship Id="rId3" Type="http://schemas.openxmlformats.org/officeDocument/2006/relationships/settings" Target="settings.xml"/><Relationship Id="rId21" Type="http://schemas.openxmlformats.org/officeDocument/2006/relationships/hyperlink" Target="https://about.citiprogram.org/en/final-rule-resources/?h=common%20rule" TargetMode="External"/><Relationship Id="rId7" Type="http://schemas.openxmlformats.org/officeDocument/2006/relationships/hyperlink" Target="https://community.pepperdine.edu/irb/content/irbmanual_revised.pdf" TargetMode="External"/><Relationship Id="rId12" Type="http://schemas.openxmlformats.org/officeDocument/2006/relationships/hyperlink" Target="https://community.pepperdine.edu/irb/irb-forms/" TargetMode="External"/><Relationship Id="rId17" Type="http://schemas.openxmlformats.org/officeDocument/2006/relationships/hyperlink" Target="https://www.hhs.gov/ohr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munity.pepperdine.edu/irb/" TargetMode="External"/><Relationship Id="rId20" Type="http://schemas.openxmlformats.org/officeDocument/2006/relationships/hyperlink" Target="http://www.primr.org/commonrule/"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ommunity.pepperdine.edu/irb/irb-forms/" TargetMode="External"/><Relationship Id="rId24" Type="http://schemas.microsoft.com/office/2011/relationships/people" Target="people.xml"/><Relationship Id="rId5" Type="http://schemas.openxmlformats.org/officeDocument/2006/relationships/comments" Target="comments.xml"/><Relationship Id="rId15" Type="http://schemas.openxmlformats.org/officeDocument/2006/relationships/hyperlink" Target="https://community.pepperdine.edu/irb/" TargetMode="External"/><Relationship Id="rId23" Type="http://schemas.openxmlformats.org/officeDocument/2006/relationships/fontTable" Target="fontTable.xml"/><Relationship Id="rId10" Type="http://schemas.openxmlformats.org/officeDocument/2006/relationships/hyperlink" Target="https://community.pepperdine.edu/irb/revised-common-rule/" TargetMode="External"/><Relationship Id="rId19" Type="http://schemas.openxmlformats.org/officeDocument/2006/relationships/hyperlink" Target="http://www.primr.org/commonrule/" TargetMode="External"/><Relationship Id="rId4" Type="http://schemas.openxmlformats.org/officeDocument/2006/relationships/webSettings" Target="webSettings.xml"/><Relationship Id="rId9" Type="http://schemas.openxmlformats.org/officeDocument/2006/relationships/hyperlink" Target="https://community.pepperdine.edu/irb/revised-common-rule/" TargetMode="External"/><Relationship Id="rId14" Type="http://schemas.openxmlformats.org/officeDocument/2006/relationships/hyperlink" Target="https://about.citiprogram.org/en/homepage/" TargetMode="External"/><Relationship Id="rId22" Type="http://schemas.openxmlformats.org/officeDocument/2006/relationships/hyperlink" Target="https://about.citiprogram.org/en/final-rule-resources/?h=common%20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6123</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Hanneyan, Sevana</dc:creator>
  <cp:lastModifiedBy>Sevana Hanneyan</cp:lastModifiedBy>
  <cp:revision>2</cp:revision>
  <dcterms:created xsi:type="dcterms:W3CDTF">2024-10-23T16:52:00Z</dcterms:created>
  <dcterms:modified xsi:type="dcterms:W3CDTF">2024-10-23T16:52:00Z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1119f5a7da8660c366193de219cc29b6df4c36b6dcfaef2aac75011affc95f7e</vt:lpwstr>
  </property>
</Properties>
</file>